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4D" w:rsidRPr="007D4AAD" w:rsidRDefault="007D4AAD" w:rsidP="007D4AAD">
      <w:pPr>
        <w:jc w:val="center"/>
        <w:rPr>
          <w:b/>
        </w:rPr>
      </w:pPr>
      <w:r w:rsidRPr="007D4AAD">
        <w:rPr>
          <w:b/>
        </w:rPr>
        <w:t>Сотрудничество с организациями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3"/>
        <w:gridCol w:w="7749"/>
      </w:tblGrid>
      <w:tr w:rsidR="0040452F" w:rsidTr="0040452F">
        <w:tc>
          <w:tcPr>
            <w:tcW w:w="2033" w:type="dxa"/>
          </w:tcPr>
          <w:p w:rsidR="0040452F" w:rsidRPr="00E77459" w:rsidRDefault="0040452F" w:rsidP="0040452F">
            <w:pPr>
              <w:spacing w:after="0"/>
              <w:rPr>
                <w:b/>
              </w:rPr>
            </w:pPr>
            <w:r w:rsidRPr="00E77459">
              <w:rPr>
                <w:b/>
              </w:rPr>
              <w:t xml:space="preserve">  </w:t>
            </w:r>
            <w:r w:rsidRPr="00E77459">
              <w:rPr>
                <w:b/>
                <w:bCs w:val="0"/>
              </w:rPr>
              <w:t>Направления</w:t>
            </w:r>
          </w:p>
          <w:p w:rsidR="0040452F" w:rsidRPr="00E77459" w:rsidRDefault="0040452F" w:rsidP="0040452F">
            <w:pPr>
              <w:spacing w:after="0"/>
              <w:rPr>
                <w:b/>
              </w:rPr>
            </w:pPr>
            <w:r w:rsidRPr="00E77459">
              <w:rPr>
                <w:b/>
                <w:bCs w:val="0"/>
              </w:rPr>
              <w:t>сотрудничества</w:t>
            </w:r>
          </w:p>
        </w:tc>
        <w:tc>
          <w:tcPr>
            <w:tcW w:w="7749" w:type="dxa"/>
          </w:tcPr>
          <w:p w:rsidR="0040452F" w:rsidRPr="00E77459" w:rsidRDefault="0040452F" w:rsidP="0040452F">
            <w:pPr>
              <w:spacing w:before="100" w:beforeAutospacing="1" w:after="0"/>
              <w:jc w:val="center"/>
              <w:rPr>
                <w:b/>
              </w:rPr>
            </w:pPr>
            <w:r w:rsidRPr="00E77459">
              <w:rPr>
                <w:b/>
                <w:bCs w:val="0"/>
              </w:rPr>
              <w:t>Организации</w:t>
            </w:r>
          </w:p>
        </w:tc>
      </w:tr>
      <w:tr w:rsidR="0040452F" w:rsidTr="0040452F">
        <w:trPr>
          <w:trHeight w:val="407"/>
        </w:trPr>
        <w:tc>
          <w:tcPr>
            <w:tcW w:w="2033" w:type="dxa"/>
            <w:vMerge w:val="restart"/>
          </w:tcPr>
          <w:p w:rsidR="0040452F" w:rsidRPr="00BE5F42" w:rsidRDefault="0040452F" w:rsidP="0040452F">
            <w:pPr>
              <w:spacing w:before="100" w:beforeAutospacing="1" w:after="0"/>
            </w:pPr>
            <w:r w:rsidRPr="00BE5F42">
              <w:t>Реализация преемственности</w:t>
            </w:r>
          </w:p>
        </w:tc>
        <w:tc>
          <w:tcPr>
            <w:tcW w:w="7749" w:type="dxa"/>
            <w:tcBorders>
              <w:bottom w:val="single" w:sz="4" w:space="0" w:color="auto"/>
            </w:tcBorders>
          </w:tcPr>
          <w:p w:rsidR="0040452F" w:rsidRPr="00BE5F42" w:rsidRDefault="0040452F" w:rsidP="0040452F">
            <w:pPr>
              <w:spacing w:before="100" w:beforeAutospacing="1" w:after="0"/>
              <w:ind w:left="360"/>
            </w:pPr>
            <w:r>
              <w:t>Г</w:t>
            </w:r>
            <w:r w:rsidRPr="00BE5F42">
              <w:t>ОУ «Средняя общеобразов</w:t>
            </w:r>
            <w:r>
              <w:t>ательная школа № 317</w:t>
            </w:r>
            <w:r w:rsidRPr="00BE5F42">
              <w:t xml:space="preserve"> (начальное звено)</w:t>
            </w:r>
          </w:p>
        </w:tc>
      </w:tr>
      <w:tr w:rsidR="0040452F" w:rsidTr="0040452F">
        <w:trPr>
          <w:trHeight w:val="599"/>
        </w:trPr>
        <w:tc>
          <w:tcPr>
            <w:tcW w:w="2033" w:type="dxa"/>
            <w:vMerge/>
          </w:tcPr>
          <w:p w:rsidR="0040452F" w:rsidRPr="00BE5F42" w:rsidRDefault="0040452F" w:rsidP="0040452F">
            <w:pPr>
              <w:spacing w:before="100" w:beforeAutospacing="1" w:after="0"/>
            </w:pP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</w:tcPr>
          <w:p w:rsidR="0040452F" w:rsidRDefault="0040452F" w:rsidP="0040452F">
            <w:pPr>
              <w:spacing w:before="100" w:beforeAutospacing="1" w:after="0"/>
              <w:ind w:left="360"/>
            </w:pPr>
            <w:r w:rsidRPr="00A21835">
              <w:t xml:space="preserve">ГОУ Дворец творчества «У Вознесенского моста» Адмиралтейского района Санкт-Петербурга </w:t>
            </w:r>
          </w:p>
        </w:tc>
      </w:tr>
      <w:tr w:rsidR="0040452F" w:rsidTr="0040452F">
        <w:trPr>
          <w:trHeight w:val="597"/>
        </w:trPr>
        <w:tc>
          <w:tcPr>
            <w:tcW w:w="2033" w:type="dxa"/>
            <w:vMerge/>
          </w:tcPr>
          <w:p w:rsidR="0040452F" w:rsidRPr="00BE5F42" w:rsidRDefault="0040452F" w:rsidP="0040452F">
            <w:pPr>
              <w:spacing w:before="100" w:beforeAutospacing="1" w:after="0"/>
            </w:pP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</w:tcPr>
          <w:p w:rsidR="0040452F" w:rsidRPr="00A21835" w:rsidRDefault="0040452F" w:rsidP="0040452F">
            <w:pPr>
              <w:spacing w:before="100" w:beforeAutospacing="1" w:after="0"/>
              <w:ind w:left="360"/>
            </w:pPr>
            <w:r w:rsidRPr="00A21835">
              <w:t>Детская библиотека СПб ГБУК  межрайонной централизованной библиотечной системы им. М.Ю. Лермонтова</w:t>
            </w:r>
          </w:p>
        </w:tc>
      </w:tr>
      <w:tr w:rsidR="0040452F" w:rsidTr="0040452F">
        <w:trPr>
          <w:trHeight w:val="325"/>
        </w:trPr>
        <w:tc>
          <w:tcPr>
            <w:tcW w:w="2033" w:type="dxa"/>
            <w:vMerge/>
          </w:tcPr>
          <w:p w:rsidR="0040452F" w:rsidRPr="00BE5F42" w:rsidRDefault="0040452F" w:rsidP="0040452F">
            <w:pPr>
              <w:spacing w:before="100" w:beforeAutospacing="1" w:after="0"/>
            </w:pP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</w:tcPr>
          <w:p w:rsidR="0040452F" w:rsidRPr="00A21835" w:rsidRDefault="0040452F" w:rsidP="0040452F">
            <w:pPr>
              <w:spacing w:before="100" w:beforeAutospacing="1" w:after="0"/>
              <w:ind w:left="360"/>
            </w:pPr>
            <w:r w:rsidRPr="007C43E8">
              <w:t xml:space="preserve">Музыкальная школа им. </w:t>
            </w:r>
            <w:proofErr w:type="spellStart"/>
            <w:r w:rsidRPr="007C43E8">
              <w:t>Бортнянского</w:t>
            </w:r>
            <w:proofErr w:type="spellEnd"/>
          </w:p>
        </w:tc>
      </w:tr>
      <w:tr w:rsidR="0040452F" w:rsidTr="0040452F">
        <w:trPr>
          <w:trHeight w:val="219"/>
        </w:trPr>
        <w:tc>
          <w:tcPr>
            <w:tcW w:w="2033" w:type="dxa"/>
            <w:vMerge/>
          </w:tcPr>
          <w:p w:rsidR="0040452F" w:rsidRPr="00BE5F42" w:rsidRDefault="0040452F" w:rsidP="0040452F">
            <w:pPr>
              <w:spacing w:before="100" w:beforeAutospacing="1" w:after="0"/>
            </w:pP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</w:tcPr>
          <w:p w:rsidR="0040452F" w:rsidRPr="007C43E8" w:rsidRDefault="0040452F" w:rsidP="0040452F">
            <w:pPr>
              <w:spacing w:before="100" w:beforeAutospacing="1" w:after="0"/>
              <w:ind w:left="360"/>
            </w:pPr>
            <w:r w:rsidRPr="007C43E8">
              <w:t>Детский развивающий центр «Просвещение»</w:t>
            </w:r>
          </w:p>
        </w:tc>
      </w:tr>
      <w:tr w:rsidR="0040452F" w:rsidTr="0040452F">
        <w:trPr>
          <w:trHeight w:val="171"/>
        </w:trPr>
        <w:tc>
          <w:tcPr>
            <w:tcW w:w="2033" w:type="dxa"/>
            <w:vMerge/>
          </w:tcPr>
          <w:p w:rsidR="0040452F" w:rsidRPr="00BE5F42" w:rsidRDefault="0040452F" w:rsidP="0040452F">
            <w:pPr>
              <w:spacing w:before="100" w:beforeAutospacing="1" w:after="0"/>
            </w:pPr>
          </w:p>
        </w:tc>
        <w:tc>
          <w:tcPr>
            <w:tcW w:w="7749" w:type="dxa"/>
            <w:tcBorders>
              <w:top w:val="single" w:sz="4" w:space="0" w:color="auto"/>
            </w:tcBorders>
          </w:tcPr>
          <w:p w:rsidR="0040452F" w:rsidRPr="007C43E8" w:rsidRDefault="0040452F" w:rsidP="0040452F">
            <w:pPr>
              <w:spacing w:before="100" w:beforeAutospacing="1" w:after="0"/>
              <w:ind w:left="360"/>
            </w:pPr>
            <w:r>
              <w:t>Русский музей</w:t>
            </w:r>
          </w:p>
        </w:tc>
      </w:tr>
      <w:tr w:rsidR="0040452F" w:rsidTr="0040452F">
        <w:trPr>
          <w:trHeight w:val="304"/>
        </w:trPr>
        <w:tc>
          <w:tcPr>
            <w:tcW w:w="2033" w:type="dxa"/>
            <w:vMerge/>
          </w:tcPr>
          <w:p w:rsidR="0040452F" w:rsidRPr="00BE5F42" w:rsidRDefault="0040452F" w:rsidP="0040452F">
            <w:pPr>
              <w:spacing w:before="100" w:beforeAutospacing="1" w:after="0"/>
            </w:pP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</w:tcPr>
          <w:p w:rsidR="0040452F" w:rsidRDefault="0040452F" w:rsidP="0040452F">
            <w:pPr>
              <w:spacing w:before="100" w:beforeAutospacing="1" w:after="0"/>
              <w:ind w:left="360"/>
            </w:pPr>
            <w:r>
              <w:t>Океанариум</w:t>
            </w:r>
          </w:p>
        </w:tc>
      </w:tr>
      <w:tr w:rsidR="0040452F" w:rsidTr="0040452F">
        <w:trPr>
          <w:trHeight w:val="224"/>
        </w:trPr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40452F" w:rsidRPr="00BE5F42" w:rsidRDefault="0040452F" w:rsidP="0040452F">
            <w:pPr>
              <w:spacing w:before="100" w:beforeAutospacing="1" w:after="0"/>
            </w:pP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</w:tcPr>
          <w:p w:rsidR="0040452F" w:rsidRDefault="0040452F" w:rsidP="0040452F">
            <w:pPr>
              <w:spacing w:before="100" w:beforeAutospacing="1" w:after="0"/>
              <w:ind w:left="360"/>
            </w:pPr>
            <w:r>
              <w:t>Музей воды</w:t>
            </w:r>
          </w:p>
        </w:tc>
      </w:tr>
      <w:tr w:rsidR="0040452F" w:rsidTr="0040452F">
        <w:trPr>
          <w:trHeight w:val="250"/>
        </w:trPr>
        <w:tc>
          <w:tcPr>
            <w:tcW w:w="2033" w:type="dxa"/>
            <w:vMerge w:val="restart"/>
          </w:tcPr>
          <w:p w:rsidR="0040452F" w:rsidRPr="00BE5F42" w:rsidRDefault="0040452F" w:rsidP="0040452F">
            <w:pPr>
              <w:spacing w:before="100" w:beforeAutospacing="1" w:after="0"/>
            </w:pPr>
            <w:r w:rsidRPr="00BE5F42">
              <w:t>Оздоровление</w:t>
            </w:r>
          </w:p>
        </w:tc>
        <w:tc>
          <w:tcPr>
            <w:tcW w:w="7749" w:type="dxa"/>
            <w:tcBorders>
              <w:bottom w:val="single" w:sz="4" w:space="0" w:color="auto"/>
            </w:tcBorders>
          </w:tcPr>
          <w:p w:rsidR="0040452F" w:rsidRPr="00BE5F42" w:rsidRDefault="0040452F" w:rsidP="0040452F">
            <w:pPr>
              <w:spacing w:before="100" w:beforeAutospacing="1" w:after="0"/>
              <w:ind w:left="360"/>
            </w:pPr>
            <w:r w:rsidRPr="007C43E8">
              <w:t xml:space="preserve">Детская поликлиника </w:t>
            </w:r>
            <w:r>
              <w:t xml:space="preserve"> № 28</w:t>
            </w:r>
          </w:p>
        </w:tc>
      </w:tr>
      <w:tr w:rsidR="0040452F" w:rsidTr="0040452F">
        <w:trPr>
          <w:trHeight w:val="192"/>
        </w:trPr>
        <w:tc>
          <w:tcPr>
            <w:tcW w:w="2033" w:type="dxa"/>
            <w:vMerge/>
          </w:tcPr>
          <w:p w:rsidR="0040452F" w:rsidRPr="00BE5F42" w:rsidRDefault="0040452F" w:rsidP="0040452F">
            <w:pPr>
              <w:spacing w:before="100" w:beforeAutospacing="1" w:after="0"/>
            </w:pP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</w:tcPr>
          <w:p w:rsidR="0040452F" w:rsidRPr="007C43E8" w:rsidRDefault="0040452F" w:rsidP="0040452F">
            <w:pPr>
              <w:spacing w:before="100" w:beforeAutospacing="1" w:after="0"/>
              <w:ind w:left="360"/>
            </w:pPr>
            <w:proofErr w:type="spellStart"/>
            <w:r>
              <w:t>Психолого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м</w:t>
            </w:r>
            <w:proofErr w:type="gramEnd"/>
            <w:r>
              <w:t>едико</w:t>
            </w:r>
            <w:proofErr w:type="spellEnd"/>
            <w:r>
              <w:t xml:space="preserve"> -педагогический центр Адмиралтейского района </w:t>
            </w:r>
          </w:p>
        </w:tc>
      </w:tr>
      <w:tr w:rsidR="0040452F" w:rsidTr="0040452F">
        <w:trPr>
          <w:trHeight w:val="579"/>
        </w:trPr>
        <w:tc>
          <w:tcPr>
            <w:tcW w:w="2033" w:type="dxa"/>
            <w:vMerge/>
          </w:tcPr>
          <w:p w:rsidR="0040452F" w:rsidRPr="00BE5F42" w:rsidRDefault="0040452F" w:rsidP="0040452F">
            <w:pPr>
              <w:spacing w:before="100" w:beforeAutospacing="1" w:after="0"/>
            </w:pPr>
          </w:p>
        </w:tc>
        <w:tc>
          <w:tcPr>
            <w:tcW w:w="7749" w:type="dxa"/>
            <w:tcBorders>
              <w:top w:val="single" w:sz="4" w:space="0" w:color="auto"/>
            </w:tcBorders>
          </w:tcPr>
          <w:p w:rsidR="0040452F" w:rsidRDefault="0040452F" w:rsidP="0040452F">
            <w:pPr>
              <w:spacing w:before="100" w:beforeAutospacing="1" w:after="0"/>
              <w:ind w:left="360"/>
            </w:pPr>
            <w:r w:rsidRPr="007C43E8">
              <w:t>ГБОУ дополнительного образования</w:t>
            </w:r>
            <w:r>
              <w:t xml:space="preserve"> </w:t>
            </w:r>
            <w:r w:rsidRPr="007C43E8">
              <w:t>детей Филиал Адмиралтейского района детской   юношеской спортивной школы</w:t>
            </w:r>
            <w:r>
              <w:t xml:space="preserve"> </w:t>
            </w:r>
            <w:r w:rsidRPr="007C43E8">
              <w:t>«ДЕЛЬФИН»</w:t>
            </w:r>
          </w:p>
        </w:tc>
      </w:tr>
      <w:tr w:rsidR="0040452F" w:rsidTr="0040452F">
        <w:trPr>
          <w:trHeight w:val="619"/>
        </w:trPr>
        <w:tc>
          <w:tcPr>
            <w:tcW w:w="2033" w:type="dxa"/>
            <w:vMerge w:val="restart"/>
          </w:tcPr>
          <w:p w:rsidR="0040452F" w:rsidRPr="00BE5F42" w:rsidRDefault="0040452F" w:rsidP="0040452F">
            <w:pPr>
              <w:spacing w:before="100" w:beforeAutospacing="1" w:after="0"/>
            </w:pPr>
            <w:r w:rsidRPr="00BE5F42">
              <w:t>Повышение квалификации кадров</w:t>
            </w:r>
          </w:p>
        </w:tc>
        <w:tc>
          <w:tcPr>
            <w:tcW w:w="7749" w:type="dxa"/>
            <w:tcBorders>
              <w:bottom w:val="single" w:sz="4" w:space="0" w:color="auto"/>
            </w:tcBorders>
          </w:tcPr>
          <w:p w:rsidR="0040452F" w:rsidRPr="00BE5F42" w:rsidRDefault="0040452F" w:rsidP="0040452F">
            <w:pPr>
              <w:spacing w:before="100" w:beforeAutospacing="1" w:after="0"/>
              <w:ind w:left="360"/>
            </w:pPr>
            <w:r w:rsidRPr="007C43E8">
              <w:t xml:space="preserve">Информационно-методический центр Адмиралтейского района Санкт-Петербурга </w:t>
            </w:r>
            <w:r w:rsidRPr="00BE5F42">
              <w:t>Районная методическая служба</w:t>
            </w:r>
          </w:p>
        </w:tc>
      </w:tr>
      <w:tr w:rsidR="0040452F" w:rsidTr="0040452F">
        <w:trPr>
          <w:trHeight w:val="595"/>
        </w:trPr>
        <w:tc>
          <w:tcPr>
            <w:tcW w:w="2033" w:type="dxa"/>
            <w:vMerge/>
          </w:tcPr>
          <w:p w:rsidR="0040452F" w:rsidRPr="00BE5F42" w:rsidRDefault="0040452F" w:rsidP="0040452F">
            <w:pPr>
              <w:spacing w:before="100" w:beforeAutospacing="1" w:after="0"/>
            </w:pPr>
          </w:p>
        </w:tc>
        <w:tc>
          <w:tcPr>
            <w:tcW w:w="7749" w:type="dxa"/>
            <w:tcBorders>
              <w:top w:val="single" w:sz="4" w:space="0" w:color="auto"/>
            </w:tcBorders>
          </w:tcPr>
          <w:p w:rsidR="0040452F" w:rsidRPr="007C43E8" w:rsidRDefault="0040452F" w:rsidP="0040452F">
            <w:pPr>
              <w:spacing w:before="100" w:beforeAutospacing="1" w:after="0"/>
              <w:ind w:left="360"/>
            </w:pPr>
            <w:r w:rsidRPr="007C43E8">
              <w:t xml:space="preserve">Академия </w:t>
            </w:r>
            <w:proofErr w:type="spellStart"/>
            <w:r w:rsidRPr="007C43E8">
              <w:t>постдипломного</w:t>
            </w:r>
            <w:proofErr w:type="spellEnd"/>
            <w:r>
              <w:t xml:space="preserve"> повышения образования С</w:t>
            </w:r>
            <w:r w:rsidRPr="007C43E8">
              <w:t>анкт-Петербурга</w:t>
            </w:r>
          </w:p>
        </w:tc>
      </w:tr>
      <w:tr w:rsidR="0040452F" w:rsidTr="0040452F">
        <w:trPr>
          <w:trHeight w:val="338"/>
        </w:trPr>
        <w:tc>
          <w:tcPr>
            <w:tcW w:w="2033" w:type="dxa"/>
            <w:vMerge w:val="restart"/>
          </w:tcPr>
          <w:p w:rsidR="0040452F" w:rsidRPr="00BE5F42" w:rsidRDefault="0040452F" w:rsidP="0040452F">
            <w:pPr>
              <w:spacing w:before="100" w:beforeAutospacing="1" w:after="0"/>
            </w:pPr>
            <w:r w:rsidRPr="00BE5F42">
              <w:t>Организационное</w:t>
            </w:r>
          </w:p>
        </w:tc>
        <w:tc>
          <w:tcPr>
            <w:tcW w:w="7749" w:type="dxa"/>
            <w:tcBorders>
              <w:bottom w:val="single" w:sz="4" w:space="0" w:color="auto"/>
            </w:tcBorders>
          </w:tcPr>
          <w:p w:rsidR="0040452F" w:rsidRPr="00094F32" w:rsidRDefault="0040452F" w:rsidP="0040452F">
            <w:pPr>
              <w:spacing w:before="100" w:beforeAutospacing="1" w:after="0"/>
              <w:ind w:left="360"/>
            </w:pPr>
            <w:r>
              <w:t>Отдел</w:t>
            </w:r>
            <w:r w:rsidRPr="00BE5F42">
              <w:t xml:space="preserve"> образования </w:t>
            </w:r>
            <w:r>
              <w:t>Адмиралтейского</w:t>
            </w:r>
            <w:r w:rsidRPr="00BE5F42">
              <w:t xml:space="preserve"> района</w:t>
            </w:r>
            <w:r>
              <w:t xml:space="preserve"> СПб</w:t>
            </w:r>
          </w:p>
        </w:tc>
      </w:tr>
      <w:tr w:rsidR="0040452F" w:rsidTr="0040452F">
        <w:trPr>
          <w:trHeight w:val="601"/>
        </w:trPr>
        <w:tc>
          <w:tcPr>
            <w:tcW w:w="2033" w:type="dxa"/>
            <w:vMerge/>
          </w:tcPr>
          <w:p w:rsidR="0040452F" w:rsidRPr="00BE5F42" w:rsidRDefault="0040452F" w:rsidP="0040452F">
            <w:pPr>
              <w:spacing w:before="100" w:beforeAutospacing="1" w:after="0"/>
            </w:pPr>
          </w:p>
        </w:tc>
        <w:tc>
          <w:tcPr>
            <w:tcW w:w="7749" w:type="dxa"/>
            <w:tcBorders>
              <w:top w:val="single" w:sz="4" w:space="0" w:color="auto"/>
            </w:tcBorders>
          </w:tcPr>
          <w:p w:rsidR="0040452F" w:rsidRDefault="0040452F" w:rsidP="0040452F">
            <w:pPr>
              <w:spacing w:before="100" w:beforeAutospacing="1" w:after="0"/>
              <w:ind w:left="360"/>
            </w:pPr>
            <w:r w:rsidRPr="00BE5F42">
              <w:t xml:space="preserve">Отдел государственного пожарного надзора по </w:t>
            </w:r>
            <w:r>
              <w:t>Адмиралтейскому</w:t>
            </w:r>
            <w:r w:rsidRPr="00BE5F42">
              <w:t xml:space="preserve"> району</w:t>
            </w:r>
            <w:r w:rsidRPr="00094F32">
              <w:t> </w:t>
            </w:r>
          </w:p>
        </w:tc>
      </w:tr>
      <w:tr w:rsidR="0040452F" w:rsidTr="0040452F">
        <w:tc>
          <w:tcPr>
            <w:tcW w:w="2033" w:type="dxa"/>
          </w:tcPr>
          <w:p w:rsidR="0040452F" w:rsidRPr="00BE5F42" w:rsidRDefault="0040452F" w:rsidP="0040452F">
            <w:pPr>
              <w:spacing w:before="100" w:beforeAutospacing="1" w:after="0"/>
            </w:pPr>
            <w:r w:rsidRPr="00BE5F42">
              <w:t>Финансовое</w:t>
            </w:r>
          </w:p>
        </w:tc>
        <w:tc>
          <w:tcPr>
            <w:tcW w:w="7749" w:type="dxa"/>
          </w:tcPr>
          <w:p w:rsidR="0040452F" w:rsidRPr="00BE5F42" w:rsidRDefault="0040452F" w:rsidP="0040452F">
            <w:pPr>
              <w:spacing w:before="100" w:beforeAutospacing="1" w:after="0"/>
              <w:ind w:left="360"/>
            </w:pPr>
            <w:r w:rsidRPr="00BE5F42">
              <w:t xml:space="preserve">Центральная бухгалтерия </w:t>
            </w:r>
            <w:r>
              <w:t>Отдела</w:t>
            </w:r>
            <w:r w:rsidRPr="00BE5F42">
              <w:t xml:space="preserve"> образования</w:t>
            </w:r>
            <w:r>
              <w:t xml:space="preserve"> Адмиралтейского</w:t>
            </w:r>
            <w:r w:rsidRPr="00BE5F42">
              <w:t xml:space="preserve"> района</w:t>
            </w:r>
            <w:r>
              <w:t xml:space="preserve"> СПб</w:t>
            </w:r>
          </w:p>
        </w:tc>
      </w:tr>
    </w:tbl>
    <w:p w:rsidR="007D4AAD" w:rsidRDefault="007D4AAD" w:rsidP="0040452F">
      <w:pPr>
        <w:spacing w:after="0"/>
      </w:pPr>
    </w:p>
    <w:sectPr w:rsidR="007D4AAD" w:rsidSect="00A5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characterSpacingControl w:val="doNotCompress"/>
  <w:compat/>
  <w:rsids>
    <w:rsidRoot w:val="007D4AAD"/>
    <w:rsid w:val="0040452F"/>
    <w:rsid w:val="007D4AAD"/>
    <w:rsid w:val="008554C7"/>
    <w:rsid w:val="00A5074D"/>
    <w:rsid w:val="00D4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Cs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2012-11-02T15:53:00Z</dcterms:created>
  <dcterms:modified xsi:type="dcterms:W3CDTF">2012-11-03T19:26:00Z</dcterms:modified>
</cp:coreProperties>
</file>