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454545"/>
          <w:sz w:val="18"/>
          <w:szCs w:val="18"/>
        </w:rPr>
        <w:t>Утверждаю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454545"/>
          <w:sz w:val="18"/>
          <w:szCs w:val="18"/>
        </w:rPr>
        <w:t>Заведующий ГБДОУ Детский сад №125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Адмиралтейского района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____________А.С.Петрова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 </w:t>
      </w:r>
    </w:p>
    <w:p w:rsidR="001918EA" w:rsidRDefault="001918EA" w:rsidP="001918EA">
      <w:pPr>
        <w:pStyle w:val="a3"/>
        <w:spacing w:after="150" w:afterAutospacing="0" w:line="270" w:lineRule="atLeast"/>
        <w:jc w:val="right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b/>
          <w:bCs/>
          <w:color w:val="454545"/>
          <w:sz w:val="18"/>
          <w:szCs w:val="18"/>
        </w:rPr>
        <w:t> </w:t>
      </w:r>
    </w:p>
    <w:p w:rsidR="001918EA" w:rsidRDefault="00755831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Отчет о результатах самообследования</w:t>
      </w:r>
      <w:r w:rsidR="001918EA">
        <w:rPr>
          <w:rStyle w:val="a4"/>
          <w:rFonts w:ascii="Tahoma" w:hAnsi="Tahoma" w:cs="Tahoma"/>
          <w:color w:val="454545"/>
          <w:sz w:val="18"/>
          <w:szCs w:val="18"/>
        </w:rPr>
        <w:t xml:space="preserve"> Государственного бюджетного дошкольного образовательного учреждения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Детский сад №125 Адмиралтейского района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за 201</w:t>
      </w:r>
      <w:r w:rsidR="00E11F3F">
        <w:rPr>
          <w:rStyle w:val="a4"/>
          <w:rFonts w:ascii="Tahoma" w:hAnsi="Tahoma" w:cs="Tahoma"/>
          <w:color w:val="454545"/>
          <w:sz w:val="18"/>
          <w:szCs w:val="18"/>
        </w:rPr>
        <w:t>5</w:t>
      </w:r>
      <w:r>
        <w:rPr>
          <w:rStyle w:val="a4"/>
          <w:rFonts w:ascii="Tahoma" w:hAnsi="Tahoma" w:cs="Tahoma"/>
          <w:color w:val="454545"/>
          <w:sz w:val="18"/>
          <w:szCs w:val="18"/>
        </w:rPr>
        <w:t>-201</w:t>
      </w:r>
      <w:r w:rsidR="00E11F3F">
        <w:rPr>
          <w:rStyle w:val="a4"/>
          <w:rFonts w:ascii="Tahoma" w:hAnsi="Tahoma" w:cs="Tahoma"/>
          <w:color w:val="454545"/>
          <w:sz w:val="18"/>
          <w:szCs w:val="18"/>
        </w:rPr>
        <w:t>6</w:t>
      </w:r>
      <w:r>
        <w:rPr>
          <w:rStyle w:val="a4"/>
          <w:rFonts w:ascii="Tahoma" w:hAnsi="Tahoma" w:cs="Tahoma"/>
          <w:color w:val="454545"/>
          <w:sz w:val="18"/>
          <w:szCs w:val="18"/>
        </w:rPr>
        <w:t xml:space="preserve"> учебный год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 </w:t>
      </w:r>
    </w:p>
    <w:p w:rsidR="001918EA" w:rsidRDefault="001918EA" w:rsidP="001918EA">
      <w:pPr>
        <w:pStyle w:val="a3"/>
        <w:spacing w:after="150" w:afterAutospacing="0" w:line="270" w:lineRule="atLeast"/>
        <w:jc w:val="center"/>
        <w:rPr>
          <w:rFonts w:ascii="Tahoma" w:hAnsi="Tahoma" w:cs="Tahoma"/>
          <w:color w:val="454545"/>
          <w:sz w:val="18"/>
          <w:szCs w:val="18"/>
        </w:rPr>
      </w:pPr>
      <w:r>
        <w:rPr>
          <w:rStyle w:val="a4"/>
          <w:rFonts w:ascii="Tahoma" w:hAnsi="Tahoma" w:cs="Tahoma"/>
          <w:color w:val="454545"/>
          <w:sz w:val="18"/>
          <w:szCs w:val="18"/>
        </w:rPr>
        <w:t>I</w:t>
      </w:r>
      <w:r w:rsidR="00755831">
        <w:rPr>
          <w:rStyle w:val="a4"/>
          <w:rFonts w:ascii="Tahoma" w:hAnsi="Tahoma" w:cs="Tahoma"/>
          <w:color w:val="454545"/>
          <w:sz w:val="18"/>
          <w:szCs w:val="18"/>
        </w:rPr>
        <w:t>.</w:t>
      </w:r>
      <w:r>
        <w:rPr>
          <w:rStyle w:val="a4"/>
          <w:rFonts w:ascii="Tahoma" w:hAnsi="Tahoma" w:cs="Tahoma"/>
          <w:color w:val="454545"/>
          <w:sz w:val="18"/>
          <w:szCs w:val="18"/>
        </w:rPr>
        <w:t xml:space="preserve"> Аналитическая часть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 xml:space="preserve">Государственное бюджетное дошкольное образовательное учреждение Детский сад №125 Адмиралтейского района (далее – ГБДОУ №125) введено в эксплуатацию в 1937 году. Учреждение располагается по двум адресам: Рижский пр-кт, д.72-74 лит.О, Рижский пр-кт, д.56 </w:t>
      </w:r>
      <w:r w:rsidR="00E11F3F">
        <w:rPr>
          <w:rFonts w:ascii="Tahoma" w:hAnsi="Tahoma" w:cs="Tahoma"/>
          <w:color w:val="454545"/>
          <w:sz w:val="18"/>
          <w:szCs w:val="18"/>
        </w:rPr>
        <w:t>лит. А</w:t>
      </w:r>
      <w:r>
        <w:rPr>
          <w:rFonts w:ascii="Tahoma" w:hAnsi="Tahoma" w:cs="Tahoma"/>
          <w:color w:val="454545"/>
          <w:sz w:val="18"/>
          <w:szCs w:val="18"/>
        </w:rPr>
        <w:t>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 Санитарно-эпидемиологическими правилами и нормативами СанПиН 2.4.1.3049-13, Уставом МКДОУ., Типовым положением о дошкольном образовательном учреждении, утвержденным приказом Министерства образования и науки РФ от 27.10.2011г. № 2562,, Федеральным законом «Об основных гарантиях прав ребёнка Российской Федерации», Конвенцией ООН о правах ребёнка.</w:t>
      </w:r>
    </w:p>
    <w:p w:rsidR="001918EA" w:rsidRDefault="001918EA" w:rsidP="001918EA">
      <w:pPr>
        <w:pStyle w:val="a3"/>
        <w:spacing w:after="150" w:afterAutospacing="0" w:line="270" w:lineRule="atLeast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Детский сад посещает 19</w:t>
      </w:r>
      <w:r w:rsidR="00E11F3F">
        <w:rPr>
          <w:rFonts w:ascii="Tahoma" w:hAnsi="Tahoma" w:cs="Tahoma"/>
          <w:color w:val="454545"/>
          <w:sz w:val="18"/>
          <w:szCs w:val="18"/>
        </w:rPr>
        <w:t>6</w:t>
      </w:r>
      <w:r>
        <w:rPr>
          <w:rFonts w:ascii="Tahoma" w:hAnsi="Tahoma" w:cs="Tahoma"/>
          <w:color w:val="454545"/>
          <w:sz w:val="18"/>
          <w:szCs w:val="18"/>
        </w:rPr>
        <w:t xml:space="preserve"> воспитанников в возрасте от 1,5 до 7 лет.</w:t>
      </w:r>
      <w:r>
        <w:rPr>
          <w:rFonts w:ascii="Tahoma" w:hAnsi="Tahoma" w:cs="Tahoma"/>
          <w:color w:val="454545"/>
          <w:sz w:val="18"/>
          <w:szCs w:val="18"/>
        </w:rPr>
        <w:br/>
        <w:t>Количество групп - 8. Из них: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2 – ясельных группы для детей возраста от 1,5 до 3 лет 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ahoma" w:hAnsi="Tahoma" w:cs="Tahoma"/>
          <w:color w:val="454545"/>
          <w:sz w:val="18"/>
          <w:szCs w:val="18"/>
        </w:rPr>
        <w:t>6 - групп общеразвивающего вида для детей от 3 до 7 лет</w:t>
      </w: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Style w:val="a5"/>
          <w:rFonts w:ascii="Tahoma" w:hAnsi="Tahoma" w:cs="Tahoma"/>
          <w:b/>
          <w:bCs/>
          <w:color w:val="454545"/>
          <w:sz w:val="18"/>
          <w:szCs w:val="18"/>
        </w:rPr>
      </w:pP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Style w:val="a5"/>
          <w:rFonts w:ascii="Tahoma" w:hAnsi="Tahoma" w:cs="Tahoma"/>
          <w:b/>
          <w:bCs/>
          <w:color w:val="454545"/>
          <w:sz w:val="18"/>
          <w:szCs w:val="18"/>
        </w:rPr>
      </w:pPr>
    </w:p>
    <w:p w:rsidR="001918EA" w:rsidRDefault="001918EA" w:rsidP="001918EA">
      <w:pPr>
        <w:pStyle w:val="a3"/>
        <w:spacing w:after="150" w:afterAutospacing="0" w:line="270" w:lineRule="atLeast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454545"/>
          <w:sz w:val="18"/>
          <w:szCs w:val="18"/>
        </w:rPr>
        <w:lastRenderedPageBreak/>
        <w:t>Количественный состав групп:</w:t>
      </w:r>
      <w:r>
        <w:rPr>
          <w:rStyle w:val="apple-converted-space"/>
          <w:rFonts w:ascii="Tahoma" w:hAnsi="Tahoma" w:cs="Tahoma"/>
          <w:color w:val="454545"/>
          <w:sz w:val="18"/>
          <w:szCs w:val="18"/>
        </w:rPr>
        <w:t> 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I младшая группа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«Лучик»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- 2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4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val="en-US" w:eastAsia="ru-RU"/>
        </w:rPr>
        <w:t>I</w:t>
      </w:r>
      <w:r w:rsidRP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младшая группа «Зайчик» - 25 воспитанников;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II младшая группа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«Малышок» -30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ов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val="en-US" w:eastAsia="ru-RU"/>
        </w:rPr>
        <w:t>II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младшая группа «Солнышко» - 27 воспитанников;</w:t>
      </w:r>
    </w:p>
    <w:p w:rsidR="001918EA" w:rsidRPr="001918EA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средняя группа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«Незнайка»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-2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6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воспитанников;</w:t>
      </w:r>
    </w:p>
    <w:p w:rsidR="0051604D" w:rsidRDefault="001918EA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средняя группа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«Непоседы»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-22 воспитанника;</w:t>
      </w:r>
    </w:p>
    <w:p w:rsidR="0051604D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старшая группа «Почемучки» - 14 воспитанников;</w:t>
      </w:r>
    </w:p>
    <w:p w:rsidR="001918EA" w:rsidRPr="001918EA" w:rsidRDefault="0051604D" w:rsidP="0051604D">
      <w:pPr>
        <w:spacing w:before="100" w:beforeAutospacing="1" w:after="150" w:line="360" w:lineRule="auto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старшая группа «Теремок» - 23 воспитанника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Режим работы детского сада: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5-дневная рабочая неделя с выходными днями (суббота, воскресенье).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Групп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12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часовым пребыванием детей работает с 7.00 до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19:00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51604D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II. </w:t>
      </w:r>
      <w:r w:rsidR="001918EA"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Результаты анализа показателей деятельности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2.1.Система управления организации</w:t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Управление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Государственным бюджетным дошкольным образовательным учреждением Детский сад №125 Адмиралтейского района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осуществляется в соответствии с Уставом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 №125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="0051604D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представлена Общим собранием работников, Педагогическим советом.</w:t>
      </w:r>
    </w:p>
    <w:p w:rsidR="001918EA" w:rsidRPr="001918EA" w:rsidRDefault="001918EA" w:rsidP="0051604D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Общее собрание работников вправе принимать решения, если в его работе участвует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подавляющее большинство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работников, для которых Учреждение является основным местом работы. 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Педагогический совет осуществляет руководство образовательной деятельностью.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Отношения между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 управлением образования администрации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Адмиралтейского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B76CB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Отношения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1918EA" w:rsidRPr="001918EA" w:rsidRDefault="00BB76CB" w:rsidP="00BB76CB">
      <w:pPr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 w:type="page"/>
      </w:r>
      <w:r w:rsidR="001918EA"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lastRenderedPageBreak/>
        <w:t>2. 2.Образовательная деятельность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1.2.1.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Содержание образовательной деятельности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енностей воспитанников, которая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позволяет поддерживать качество подготовки воспитанников к школе на достаточно высоком уровне.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детей</w:t>
      </w:r>
      <w:proofErr w:type="gramEnd"/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918EA" w:rsidRPr="001918EA" w:rsidRDefault="001918EA" w:rsidP="00BB76CB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ственно-эстетическое развитие»,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Базовая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программа</w:t>
      </w:r>
      <w:r w:rsidR="00BB76CB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От рождения до школы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» под редакцией</w:t>
      </w:r>
      <w:r w:rsid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BB76CB" w:rsidRPr="00BB76C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Н. Е. Вераксы, Т. С. Комаровой, М. А. Васильевой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 целью осуществления приоритетного направления интеллектуального развития воспитан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ников использовались следующие 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парциальные программы и методики:</w:t>
      </w:r>
    </w:p>
    <w:p w:rsidR="001918EA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«Музыкальные шедевры» О.П. Радыновой;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Дополнительное образование воспитанников.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учреждении созданы условия для организации дополнительного образования воспитанников по следующим приоритетным направления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м: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физическому, эстетическому воспитанию:</w:t>
      </w:r>
    </w:p>
    <w:p w:rsid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- Спортивные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занятия;</w:t>
      </w:r>
    </w:p>
    <w:p w:rsidR="00673DF2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- Дополнительное рисование в 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изостудии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 детском саду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каждый вид дополнительного образования разработан план, ведется анализ их эффективности.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Отношения с социальными учреждениями</w:t>
      </w:r>
      <w:r w:rsidR="00673DF2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Дошкольное образовательное учреждение поддерживает прочные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отнош</w:t>
      </w:r>
      <w:r w:rsidR="00E11F3F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ения с социальными учреждениями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:</w:t>
      </w:r>
    </w:p>
    <w:p w:rsidR="001918EA" w:rsidRPr="001918EA" w:rsidRDefault="001918EA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Детская поликлиника</w:t>
      </w:r>
    </w:p>
    <w:p w:rsidR="001918EA" w:rsidRDefault="001918EA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Семейная детская библиотека</w:t>
      </w:r>
    </w:p>
    <w:p w:rsidR="00673DF2" w:rsidRPr="001918EA" w:rsidRDefault="00673DF2" w:rsidP="001918EA">
      <w:pPr>
        <w:numPr>
          <w:ilvl w:val="0"/>
          <w:numId w:val="1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Спортивная школа</w:t>
      </w:r>
    </w:p>
    <w:p w:rsid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73DF2" w:rsidRPr="001918EA" w:rsidRDefault="00673DF2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Спортивная школа предлагает занятия на батуте и гимнастику. Совместно в детской библиотек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проводятся развивающие занятия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направленные на речевое и познавательное развитие детей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2.2.2</w:t>
      </w:r>
      <w:r w:rsidR="00533F9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Организация образовательного процесса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Организованная в ДОУ предметно-развивающая среда</w:t>
      </w:r>
      <w:r w:rsidR="00673DF2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оформлена в соответствии с ФГОС и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инициирует познавательную и творческую активность детей,</w:t>
      </w:r>
      <w:r w:rsidR="00673DF2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,</w:t>
      </w:r>
      <w:r w:rsidR="00673DF2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918EA" w:rsidRPr="001918EA" w:rsidRDefault="001918EA" w:rsidP="00673DF2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Взаимодействие с родителями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 коллектив 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 №125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строит на принципе сотрудничества. 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При этом решаются приоритетные задачи: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повышение педагогической культуры родителей;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приобщение родителей к участию в жизни детского сада;</w:t>
      </w:r>
    </w:p>
    <w:p w:rsidR="001918EA" w:rsidRPr="001918EA" w:rsidRDefault="001918EA" w:rsidP="001918EA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918EA" w:rsidRPr="001918EA" w:rsidRDefault="001918EA" w:rsidP="00533F9A">
      <w:pPr>
        <w:spacing w:before="100" w:beforeAutospacing="1" w:after="150" w:line="270" w:lineRule="atLeast"/>
        <w:ind w:firstLine="1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Для решения этих задач используются различные формы работы: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групповые родительские собрания, консультации;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проведение совместных мероприятий для детей и родителей;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наглядная информация;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показ занятий для родителей;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выставки совместных работ;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посещение открытых мероприятий и участие в них;</w:t>
      </w:r>
    </w:p>
    <w:p w:rsidR="001918EA" w:rsidRPr="001918EA" w:rsidRDefault="001918EA" w:rsidP="001918EA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заключение договоров с родителями вновь поступивших детей</w:t>
      </w:r>
    </w:p>
    <w:p w:rsidR="001918EA" w:rsidRPr="001918EA" w:rsidRDefault="001918EA" w:rsidP="00533F9A">
      <w:pPr>
        <w:spacing w:before="100" w:beforeAutospacing="1" w:after="150" w:line="270" w:lineRule="atLeast"/>
        <w:ind w:firstLine="3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Работает консультативная служба специалистов: инструктора по физ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ической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культуре, музыкального руководителя, медсестры.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имных моментов, самостоятельной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зрасту формах работы с детьми.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</w:t>
      </w:r>
      <w:r w:rsidR="00533F9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гогов,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постоянно оформлялись стенды информации. 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2.2.3 Качество подготовки обучающихся</w:t>
      </w:r>
    </w:p>
    <w:p w:rsidR="001918EA" w:rsidRPr="001918EA" w:rsidRDefault="001918EA" w:rsidP="00533F9A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</w:t>
      </w:r>
      <w:r w:rsidR="008A0001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ГБДОУ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Результатом осуществления воспитательно-образовательного процесса явилась качествен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ная подготовка детей к обучению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Хорошие результаты достигнуты благодаря использованию в работе м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етодов, способствующих развитию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2.3. Качество кадрового обеспечения</w:t>
      </w:r>
    </w:p>
    <w:p w:rsidR="001918EA" w:rsidRPr="001918EA" w:rsidRDefault="008A0001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 xml:space="preserve">Работа с кадрами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</w:t>
      </w: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методической помощи педагогам. Составлен план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прохождения аттестации, повышения квалификации педагогов.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Дошкол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ьное образовательное учреждение укомплектовано кадрами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2.4. Материально-техническая база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улучшению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состоянии. В четырех групповых комнатах спальные комнаты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отделены друг от друга.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 xml:space="preserve">В детском саду имеются: групповые помещения, кабинет заведующего, методический кабинет,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изостудия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музы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кальный зал, физкультурный зал,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пищеблок, прачечная, медицинский кабинет.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ременным игровым оборудованием,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современными и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нформационными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6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персональными компьютерами и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2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ноутбуками.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В детском саду имеется 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видеокамера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, которая используется для съемки занятий, мероприятий, 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праздников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 Отснятые материалы эпизодически используются в воспитательной работе.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  <w:r w:rsidR="008A000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</w:t>
      </w:r>
      <w:r w:rsidR="00E11F3F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для вновь поступивших сотрудников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), повторный, что позволяет персоналу владеть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знаниями по охране труда и технике безопасности, правилами пожарной безопасности, действиям в чрезвычайных ситуациях.</w:t>
      </w:r>
    </w:p>
    <w:p w:rsidR="001918EA" w:rsidRPr="001918EA" w:rsidRDefault="001918EA" w:rsidP="008A0001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С воспитанниками детского сада проводятся беседы по 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БЖД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1918EA" w:rsidRPr="001918EA" w:rsidRDefault="008A0001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Медицинский блок включает в себя 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медицинский, процедурный кабинет,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он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оснащен необходимым медицинским инструментарием, набором медикаментов. 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М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1918EA" w:rsidRPr="001918EA" w:rsidRDefault="00D94105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ГБДОУ</w:t>
      </w:r>
      <w:r w:rsidR="001918EA"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Проводятся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</w:t>
      </w: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профилактические мероприятия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:</w:t>
      </w:r>
    </w:p>
    <w:p w:rsidR="001918EA" w:rsidRPr="001918EA" w:rsidRDefault="00D94105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М</w:t>
      </w:r>
      <w:r w:rsidR="001918EA" w:rsidRPr="001918EA"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едсестрой  ДОУ</w:t>
      </w:r>
      <w:proofErr w:type="gramEnd"/>
      <w:r w:rsidR="001918EA" w:rsidRPr="001918EA">
        <w:rPr>
          <w:rFonts w:ascii="Tahoma" w:eastAsia="Times New Roman" w:hAnsi="Tahoma" w:cs="Tahoma"/>
          <w:i/>
          <w:iCs/>
          <w:color w:val="454545"/>
          <w:sz w:val="18"/>
          <w:szCs w:val="18"/>
          <w:lang w:eastAsia="ru-RU"/>
        </w:rPr>
        <w:t>: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осмотр детей во время утреннего приема;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антропометрические замеры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анализ заболеваемости 1 раз в месяц, в квартал, 1 раз в год;</w:t>
      </w:r>
    </w:p>
    <w:p w:rsidR="001918EA" w:rsidRPr="001918EA" w:rsidRDefault="001918EA" w:rsidP="001918EA">
      <w:pPr>
        <w:numPr>
          <w:ilvl w:val="0"/>
          <w:numId w:val="5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лечебно-профилактические мероприятия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.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2.5.Функционирование внутренней системы оценки качества образования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Систему к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ачества дошкольного образования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мы рассматриваем как систему контроля вн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утри ДОУ, которая включает себя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интегративные составляющие: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научно-методической работы;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воспитательно-образовательного процесса;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работы с родителями;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работы с педагогическими кадрами;</w:t>
      </w:r>
    </w:p>
    <w:p w:rsidR="001918EA" w:rsidRPr="001918EA" w:rsidRDefault="001918EA" w:rsidP="001918EA">
      <w:pPr>
        <w:numPr>
          <w:ilvl w:val="0"/>
          <w:numId w:val="6"/>
        </w:numPr>
        <w:spacing w:after="75" w:line="270" w:lineRule="atLeast"/>
        <w:ind w:left="3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Качество предметно-пространственной среды.</w:t>
      </w:r>
    </w:p>
    <w:p w:rsidR="001918EA" w:rsidRPr="001918EA" w:rsidRDefault="001918EA" w:rsidP="00D94105">
      <w:pPr>
        <w:spacing w:before="100" w:beforeAutospacing="1" w:after="150" w:line="270" w:lineRule="atLeast"/>
        <w:ind w:firstLine="708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С целью повышения эффективности уче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бно-воспитательной деятельности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 применяем педагогический мониторинг, который даёт качественную и своевременную информацию, необходи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мую для принятия управленческих решений.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не полностью соответствует ООПДО ДОУ, ФГОС, условиям реализации основной общеобразовательной программы дошкольного образования</w:t>
      </w:r>
      <w:r w:rsidR="00D94105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 xml:space="preserve">. Недостаточно в детском саду </w:t>
      </w: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наглядных пособий для всех групп. На сайте ДОУ имеется электронные версии журналов для педагогов, родителей и детей.</w:t>
      </w:r>
    </w:p>
    <w:p w:rsidR="00D94105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D94105" w:rsidRDefault="00D94105">
      <w:pPr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 w:type="page"/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lastRenderedPageBreak/>
        <w:t>Показатели деятельности ДОУ</w:t>
      </w:r>
    </w:p>
    <w:p w:rsidR="001918EA" w:rsidRPr="001918EA" w:rsidRDefault="001918EA" w:rsidP="001918EA">
      <w:pPr>
        <w:spacing w:before="100" w:beforeAutospacing="1" w:after="150" w:line="270" w:lineRule="atLeast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1918EA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892"/>
        <w:gridCol w:w="1104"/>
      </w:tblGrid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Единица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измерения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E11F3F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196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E11F3F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  <w:r w:rsidR="00E11F3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E11F3F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50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Общая численность воспитанников в возрасте от 3 до </w:t>
            </w:r>
            <w:proofErr w:type="gramStart"/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  лет</w:t>
            </w:r>
            <w:proofErr w:type="gramEnd"/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E11F3F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</w:t>
            </w:r>
            <w:r w:rsidR="00E11F3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продлённого дня (12ч)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коррекции недостатков в физическом</w:t>
            </w:r>
            <w:r w:rsidRPr="001918EA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 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 (или) психическом развитии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0,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 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755831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755831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E11F3F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E11F3F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5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а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1.7.3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 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</w:t>
            </w:r>
            <w:r w:rsidR="00D94105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сти педагогических работников в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5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D94105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1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E11F3F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5</w:t>
            </w:r>
            <w:r w:rsidR="00755831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человека,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23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6 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человек,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E11F3F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21</w:t>
            </w:r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/1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  <w:r w:rsidR="00E11F3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="001918EA"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755831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4,2 м</w:t>
            </w: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1918EA" w:rsidRPr="001918EA" w:rsidTr="001918EA">
        <w:tc>
          <w:tcPr>
            <w:tcW w:w="648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892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918EA" w:rsidRPr="001918EA" w:rsidRDefault="001918EA" w:rsidP="001918EA">
            <w:pPr>
              <w:spacing w:before="100" w:beforeAutospacing="1" w:after="150" w:line="270" w:lineRule="atLeast"/>
              <w:jc w:val="both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1918EA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</w:tbl>
    <w:p w:rsidR="005174C9" w:rsidRDefault="005174C9" w:rsidP="001918EA">
      <w:pPr>
        <w:jc w:val="both"/>
      </w:pPr>
    </w:p>
    <w:sectPr w:rsidR="0051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5A1E"/>
    <w:multiLevelType w:val="multilevel"/>
    <w:tmpl w:val="E52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B1ED5"/>
    <w:multiLevelType w:val="multilevel"/>
    <w:tmpl w:val="35B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44182"/>
    <w:multiLevelType w:val="multilevel"/>
    <w:tmpl w:val="957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F70F45"/>
    <w:multiLevelType w:val="multilevel"/>
    <w:tmpl w:val="F14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C26FB"/>
    <w:multiLevelType w:val="multilevel"/>
    <w:tmpl w:val="393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6303E"/>
    <w:multiLevelType w:val="multilevel"/>
    <w:tmpl w:val="DE9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A"/>
    <w:rsid w:val="001918EA"/>
    <w:rsid w:val="0051604D"/>
    <w:rsid w:val="005174C9"/>
    <w:rsid w:val="00533F9A"/>
    <w:rsid w:val="00673DF2"/>
    <w:rsid w:val="00755831"/>
    <w:rsid w:val="008A0001"/>
    <w:rsid w:val="00BB76CB"/>
    <w:rsid w:val="00D94105"/>
    <w:rsid w:val="00E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D30C-A128-482D-A1DC-1B40543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EA"/>
    <w:rPr>
      <w:b/>
      <w:bCs/>
    </w:rPr>
  </w:style>
  <w:style w:type="character" w:customStyle="1" w:styleId="apple-converted-space">
    <w:name w:val="apple-converted-space"/>
    <w:basedOn w:val="a0"/>
    <w:rsid w:val="001918EA"/>
  </w:style>
  <w:style w:type="character" w:styleId="a5">
    <w:name w:val="Emphasis"/>
    <w:basedOn w:val="a0"/>
    <w:uiPriority w:val="20"/>
    <w:qFormat/>
    <w:rsid w:val="00191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Невзорова</dc:creator>
  <cp:keywords/>
  <dc:description/>
  <cp:lastModifiedBy>Grace_work</cp:lastModifiedBy>
  <cp:revision>4</cp:revision>
  <dcterms:created xsi:type="dcterms:W3CDTF">2015-09-03T16:38:00Z</dcterms:created>
  <dcterms:modified xsi:type="dcterms:W3CDTF">2016-09-02T11:43:00Z</dcterms:modified>
</cp:coreProperties>
</file>